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A5" w:rsidRPr="00C20095" w:rsidRDefault="00AD3BA5" w:rsidP="00D04EBB">
      <w:pPr>
        <w:jc w:val="both"/>
        <w:rPr>
          <w:rFonts w:ascii="Arial" w:hAnsi="Arial" w:cs="Arial"/>
          <w:sz w:val="22"/>
          <w:szCs w:val="22"/>
        </w:rPr>
      </w:pPr>
    </w:p>
    <w:p w:rsidR="00AD3BA5" w:rsidRDefault="00AD3BA5" w:rsidP="006065A9">
      <w:pPr>
        <w:ind w:left="360"/>
        <w:jc w:val="both"/>
        <w:rPr>
          <w:rFonts w:ascii="Calibri" w:hAnsi="Calibri" w:cs="Calibri"/>
        </w:rPr>
      </w:pPr>
    </w:p>
    <w:p w:rsidR="00AD3BA5" w:rsidRPr="004712F6" w:rsidRDefault="00AD3BA5" w:rsidP="006065A9">
      <w:pPr>
        <w:ind w:left="360"/>
        <w:jc w:val="both"/>
        <w:rPr>
          <w:rFonts w:ascii="Calibri" w:hAnsi="Calibri" w:cs="Calibri"/>
        </w:rPr>
      </w:pP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56"/>
      </w:tblGrid>
      <w:tr w:rsidR="00AD3BA5" w:rsidRPr="004D55B4">
        <w:trPr>
          <w:jc w:val="center"/>
        </w:trPr>
        <w:tc>
          <w:tcPr>
            <w:tcW w:w="9456" w:type="dxa"/>
            <w:tcBorders>
              <w:top w:val="nil"/>
              <w:left w:val="nil"/>
              <w:bottom w:val="single" w:sz="4" w:space="0" w:color="auto"/>
              <w:right w:val="nil"/>
            </w:tcBorders>
          </w:tcPr>
          <w:tbl>
            <w:tblPr>
              <w:tblW w:w="9215" w:type="dxa"/>
              <w:tblLayout w:type="fixed"/>
              <w:tblLook w:val="00A0"/>
            </w:tblPr>
            <w:tblGrid>
              <w:gridCol w:w="3628"/>
              <w:gridCol w:w="5587"/>
            </w:tblGrid>
            <w:tr w:rsidR="00AD3BA5" w:rsidRPr="003609C1">
              <w:tc>
                <w:tcPr>
                  <w:tcW w:w="3628" w:type="dxa"/>
                </w:tcPr>
                <w:p w:rsidR="00AD3BA5" w:rsidRPr="003609C1" w:rsidRDefault="005B3D6C" w:rsidP="006833C8">
                  <w:pPr>
                    <w:jc w:val="both"/>
                    <w:rPr>
                      <w:sz w:val="40"/>
                      <w:szCs w:val="40"/>
                    </w:rPr>
                  </w:pPr>
                  <w:r>
                    <w:rPr>
                      <w:noProof/>
                      <w:lang w:eastAsia="el-GR"/>
                    </w:rPr>
                    <w:drawing>
                      <wp:inline distT="0" distB="0" distL="0" distR="0">
                        <wp:extent cx="1285875" cy="533400"/>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1285875" cy="533400"/>
                                </a:xfrm>
                                <a:prstGeom prst="rect">
                                  <a:avLst/>
                                </a:prstGeom>
                                <a:solidFill>
                                  <a:srgbClr val="FFFFFF">
                                    <a:alpha val="0"/>
                                  </a:srgbClr>
                                </a:solidFill>
                                <a:ln w="9525">
                                  <a:noFill/>
                                  <a:miter lim="800000"/>
                                  <a:headEnd/>
                                  <a:tailEnd/>
                                </a:ln>
                              </pic:spPr>
                            </pic:pic>
                          </a:graphicData>
                        </a:graphic>
                      </wp:inline>
                    </w:drawing>
                  </w:r>
                </w:p>
              </w:tc>
              <w:tc>
                <w:tcPr>
                  <w:tcW w:w="5587" w:type="dxa"/>
                </w:tcPr>
                <w:p w:rsidR="00AD3BA5" w:rsidRPr="003609C1" w:rsidRDefault="005B3D6C" w:rsidP="006833C8">
                  <w:pPr>
                    <w:jc w:val="right"/>
                    <w:rPr>
                      <w:sz w:val="40"/>
                      <w:szCs w:val="40"/>
                    </w:rPr>
                  </w:pPr>
                  <w:r>
                    <w:rPr>
                      <w:b/>
                      <w:bCs/>
                      <w:noProof/>
                      <w:lang w:eastAsia="el-GR"/>
                    </w:rPr>
                    <w:drawing>
                      <wp:inline distT="0" distB="0" distL="0" distR="0">
                        <wp:extent cx="3362325" cy="514350"/>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a:srcRect/>
                                <a:stretch>
                                  <a:fillRect/>
                                </a:stretch>
                              </pic:blipFill>
                              <pic:spPr bwMode="auto">
                                <a:xfrm>
                                  <a:off x="0" y="0"/>
                                  <a:ext cx="3362325" cy="514350"/>
                                </a:xfrm>
                                <a:prstGeom prst="rect">
                                  <a:avLst/>
                                </a:prstGeom>
                                <a:solidFill>
                                  <a:srgbClr val="FFFFFF">
                                    <a:alpha val="0"/>
                                  </a:srgbClr>
                                </a:solidFill>
                                <a:ln w="9525">
                                  <a:noFill/>
                                  <a:miter lim="800000"/>
                                  <a:headEnd/>
                                  <a:tailEnd/>
                                </a:ln>
                              </pic:spPr>
                            </pic:pic>
                          </a:graphicData>
                        </a:graphic>
                      </wp:inline>
                    </w:drawing>
                  </w:r>
                </w:p>
              </w:tc>
            </w:tr>
          </w:tbl>
          <w:p w:rsidR="00AD3BA5" w:rsidRPr="004D55B4" w:rsidRDefault="00AD3BA5" w:rsidP="004D55B4">
            <w:pPr>
              <w:ind w:right="-483"/>
              <w:rPr>
                <w:rFonts w:ascii="Calibri" w:hAnsi="Calibri" w:cs="Calibri"/>
                <w:sz w:val="20"/>
                <w:szCs w:val="20"/>
              </w:rPr>
            </w:pPr>
            <w:r w:rsidRPr="00B23E6C">
              <w:rPr>
                <w:rFonts w:ascii="Calibri" w:hAnsi="Calibri" w:cs="Calibri"/>
                <w:sz w:val="20"/>
                <w:szCs w:val="20"/>
              </w:rPr>
              <w:t xml:space="preserve">   </w:t>
            </w:r>
            <w:r w:rsidRPr="00EA40FA">
              <w:rPr>
                <w:rFonts w:ascii="Calibri" w:hAnsi="Calibri" w:cs="Calibri"/>
                <w:sz w:val="20"/>
                <w:szCs w:val="20"/>
              </w:rPr>
              <w:t xml:space="preserve">ΕΘΝΙΚΟ ΣΗΜΕΙΟ ΕΠΑΦΗΣ </w:t>
            </w:r>
            <w:r w:rsidRPr="000F65BA">
              <w:rPr>
                <w:rFonts w:ascii="Calibri" w:hAnsi="Calibri" w:cs="Calibri"/>
                <w:sz w:val="20"/>
                <w:szCs w:val="20"/>
              </w:rPr>
              <w:t>ESPON</w:t>
            </w:r>
            <w:r w:rsidRPr="00EA40FA">
              <w:rPr>
                <w:rFonts w:ascii="Calibri" w:hAnsi="Calibri" w:cs="Calibri"/>
                <w:sz w:val="20"/>
                <w:szCs w:val="20"/>
              </w:rPr>
              <w:t xml:space="preserve"> 2013 -ΠΑΝΤΕΙΟ ΠΑΝΕΠΙΣΤΗΜΙΟ ΚΟΙΝΩΝΙΚΩΝ ΚΑΙ ΠΟΛΙΤΙΚΩΝ </w:t>
            </w:r>
            <w:r w:rsidRPr="000F65BA">
              <w:rPr>
                <w:rFonts w:ascii="Calibri" w:hAnsi="Calibri" w:cs="Calibri"/>
                <w:sz w:val="20"/>
                <w:szCs w:val="20"/>
              </w:rPr>
              <w:t>E</w:t>
            </w:r>
            <w:r w:rsidRPr="00EA40FA">
              <w:rPr>
                <w:rFonts w:ascii="Calibri" w:hAnsi="Calibri" w:cs="Calibri"/>
                <w:sz w:val="20"/>
                <w:szCs w:val="20"/>
              </w:rPr>
              <w:t>ΠΙΣΤΗΜΩΝ</w:t>
            </w:r>
          </w:p>
        </w:tc>
      </w:tr>
    </w:tbl>
    <w:p w:rsidR="00AD3BA5" w:rsidRDefault="00AD3BA5" w:rsidP="00842F62">
      <w:pPr>
        <w:rPr>
          <w:lang w:val="pt-BR"/>
        </w:rPr>
      </w:pPr>
    </w:p>
    <w:p w:rsidR="00AD3BA5" w:rsidRPr="004D55B4" w:rsidRDefault="00475EA4" w:rsidP="004D55B4">
      <w:pPr>
        <w:rPr>
          <w:rFonts w:ascii="Arial" w:hAnsi="Arial" w:cs="Arial"/>
          <w:sz w:val="20"/>
          <w:szCs w:val="20"/>
        </w:rPr>
      </w:pPr>
      <w:r>
        <w:rPr>
          <w:rFonts w:ascii="Arial" w:hAnsi="Arial" w:cs="Arial"/>
          <w:sz w:val="20"/>
          <w:szCs w:val="20"/>
        </w:rPr>
        <w:t>Αθήνα, 2 Σεπτεμβρίου</w:t>
      </w:r>
      <w:r w:rsidR="00AD3BA5" w:rsidRPr="004D55B4">
        <w:rPr>
          <w:rFonts w:ascii="Arial" w:hAnsi="Arial" w:cs="Arial"/>
          <w:sz w:val="20"/>
          <w:szCs w:val="20"/>
        </w:rPr>
        <w:t xml:space="preserve"> 2013</w:t>
      </w:r>
    </w:p>
    <w:p w:rsidR="00AD3BA5" w:rsidRPr="004D55B4" w:rsidRDefault="00AD3BA5" w:rsidP="004D55B4">
      <w:pPr>
        <w:spacing w:before="120" w:after="120"/>
        <w:rPr>
          <w:rFonts w:ascii="Arial" w:hAnsi="Arial" w:cs="Arial"/>
          <w:sz w:val="20"/>
          <w:szCs w:val="20"/>
        </w:rPr>
      </w:pPr>
      <w:r w:rsidRPr="004D55B4">
        <w:rPr>
          <w:rFonts w:ascii="Arial" w:hAnsi="Arial" w:cs="Arial"/>
          <w:sz w:val="20"/>
          <w:szCs w:val="20"/>
        </w:rPr>
        <w:t>Θέμα: Πρόσκληση εκδήλωσης ενδιαφέροντος</w:t>
      </w:r>
    </w:p>
    <w:p w:rsidR="00AD3BA5" w:rsidRPr="004D55B4" w:rsidRDefault="00AD3BA5" w:rsidP="004D55B4">
      <w:pPr>
        <w:rPr>
          <w:rFonts w:ascii="Arial" w:hAnsi="Arial" w:cs="Arial"/>
          <w:sz w:val="20"/>
          <w:szCs w:val="20"/>
        </w:rPr>
      </w:pPr>
      <w:r w:rsidRPr="004D55B4">
        <w:rPr>
          <w:rFonts w:ascii="Arial" w:hAnsi="Arial" w:cs="Arial"/>
          <w:sz w:val="20"/>
          <w:szCs w:val="20"/>
        </w:rPr>
        <w:t>Σ</w:t>
      </w:r>
      <w:r w:rsidRPr="004D55B4">
        <w:rPr>
          <w:rFonts w:ascii="Arial" w:eastAsia="Arial Unicode MS" w:hAnsi="Arial" w:cs="Arial"/>
          <w:sz w:val="20"/>
          <w:szCs w:val="20"/>
        </w:rPr>
        <w:t xml:space="preserve">το πλαίσιο  του Έργου </w:t>
      </w:r>
      <w:r w:rsidR="00000757" w:rsidRPr="004D55B4">
        <w:rPr>
          <w:rFonts w:ascii="Arial" w:eastAsia="Arial Unicode MS" w:hAnsi="Arial" w:cs="Arial"/>
          <w:sz w:val="20"/>
          <w:szCs w:val="20"/>
          <w:lang w:val="en-US"/>
        </w:rPr>
        <w:t>ESPON</w:t>
      </w:r>
      <w:r w:rsidR="00000757" w:rsidRPr="004D55B4">
        <w:rPr>
          <w:rFonts w:ascii="Arial" w:eastAsia="Arial Unicode MS" w:hAnsi="Arial" w:cs="Arial"/>
          <w:sz w:val="20"/>
          <w:szCs w:val="20"/>
        </w:rPr>
        <w:t>-</w:t>
      </w:r>
      <w:r w:rsidR="00475EA4">
        <w:rPr>
          <w:rFonts w:ascii="Arial" w:eastAsia="Arial Unicode MS" w:hAnsi="Arial" w:cs="Arial"/>
          <w:sz w:val="20"/>
          <w:szCs w:val="20"/>
        </w:rPr>
        <w:t>USESPON</w:t>
      </w:r>
      <w:r w:rsidRPr="004D55B4">
        <w:rPr>
          <w:rFonts w:ascii="Arial" w:eastAsia="Arial Unicode MS" w:hAnsi="Arial" w:cs="Arial"/>
          <w:sz w:val="20"/>
          <w:szCs w:val="20"/>
        </w:rPr>
        <w:t xml:space="preserve">, το </w:t>
      </w:r>
      <w:proofErr w:type="spellStart"/>
      <w:r w:rsidRPr="004D55B4">
        <w:rPr>
          <w:rFonts w:ascii="Arial" w:eastAsia="Arial Unicode MS" w:hAnsi="Arial" w:cs="Arial"/>
          <w:sz w:val="20"/>
          <w:szCs w:val="20"/>
        </w:rPr>
        <w:t>Πάντειο</w:t>
      </w:r>
      <w:proofErr w:type="spellEnd"/>
      <w:r w:rsidRPr="004D55B4">
        <w:rPr>
          <w:rFonts w:ascii="Arial" w:eastAsia="Arial Unicode MS" w:hAnsi="Arial" w:cs="Arial"/>
          <w:sz w:val="20"/>
          <w:szCs w:val="20"/>
        </w:rPr>
        <w:t xml:space="preserve"> Πανεπιστήμιο-Επιτροπή Ερευνών ενδιαφέρεται για την προσαρμογή </w:t>
      </w:r>
      <w:r w:rsidRPr="004D55B4">
        <w:rPr>
          <w:rFonts w:ascii="Arial" w:hAnsi="Arial" w:cs="Arial"/>
          <w:sz w:val="20"/>
          <w:szCs w:val="20"/>
        </w:rPr>
        <w:t xml:space="preserve">εκπαιδευτικού υλικού - </w:t>
      </w:r>
      <w:r w:rsidRPr="004D55B4">
        <w:rPr>
          <w:rFonts w:ascii="Arial" w:hAnsi="Arial" w:cs="Arial"/>
          <w:b/>
          <w:bCs/>
          <w:sz w:val="20"/>
          <w:szCs w:val="20"/>
        </w:rPr>
        <w:t xml:space="preserve">υποβοήθηση του σχεδιασμού των εκπαιδευτικών θεματικών πακέτων </w:t>
      </w:r>
      <w:r w:rsidRPr="004D55B4">
        <w:rPr>
          <w:rFonts w:ascii="Arial" w:hAnsi="Arial" w:cs="Arial"/>
          <w:sz w:val="20"/>
          <w:szCs w:val="20"/>
        </w:rPr>
        <w:t>(</w:t>
      </w:r>
      <w:r w:rsidRPr="004D55B4">
        <w:rPr>
          <w:rFonts w:ascii="Arial" w:hAnsi="Arial" w:cs="Arial"/>
          <w:sz w:val="20"/>
          <w:szCs w:val="20"/>
          <w:lang w:val="en-US"/>
        </w:rPr>
        <w:t>course</w:t>
      </w:r>
      <w:r w:rsidRPr="004D55B4">
        <w:rPr>
          <w:rFonts w:ascii="Arial" w:hAnsi="Arial" w:cs="Arial"/>
          <w:sz w:val="20"/>
          <w:szCs w:val="20"/>
        </w:rPr>
        <w:t xml:space="preserve"> </w:t>
      </w:r>
      <w:r w:rsidRPr="004D55B4">
        <w:rPr>
          <w:rFonts w:ascii="Arial" w:hAnsi="Arial" w:cs="Arial"/>
          <w:sz w:val="20"/>
          <w:szCs w:val="20"/>
          <w:lang w:val="en-US"/>
        </w:rPr>
        <w:t>design</w:t>
      </w:r>
      <w:r w:rsidRPr="004D55B4">
        <w:rPr>
          <w:rFonts w:ascii="Arial" w:hAnsi="Arial" w:cs="Arial"/>
          <w:sz w:val="20"/>
          <w:szCs w:val="20"/>
        </w:rPr>
        <w:t>) στην πλατφόρμα του έργου σύμφωνα με τις ανάγκες αυτού (και</w:t>
      </w:r>
      <w:r w:rsidRPr="004D55B4">
        <w:rPr>
          <w:rFonts w:ascii="Arial" w:eastAsia="Arial Unicode MS" w:hAnsi="Arial" w:cs="Arial"/>
          <w:sz w:val="20"/>
          <w:szCs w:val="20"/>
        </w:rPr>
        <w:t xml:space="preserve"> σε πολύ σύντομο χρονικό διάστημα).</w:t>
      </w:r>
      <w:r w:rsidRPr="004D55B4">
        <w:rPr>
          <w:rFonts w:ascii="Arial" w:hAnsi="Arial" w:cs="Arial"/>
          <w:sz w:val="20"/>
          <w:szCs w:val="20"/>
        </w:rPr>
        <w:t xml:space="preserve"> </w:t>
      </w:r>
    </w:p>
    <w:p w:rsidR="00AD3BA5" w:rsidRPr="004D55B4" w:rsidRDefault="00AD3BA5" w:rsidP="004D55B4">
      <w:pPr>
        <w:spacing w:before="120"/>
        <w:rPr>
          <w:rFonts w:ascii="Arial" w:eastAsia="Arial Unicode MS" w:hAnsi="Arial" w:cs="Arial"/>
          <w:sz w:val="20"/>
          <w:szCs w:val="20"/>
          <w:lang w:val="en-GB"/>
        </w:rPr>
      </w:pPr>
      <w:r w:rsidRPr="004D55B4">
        <w:rPr>
          <w:rFonts w:ascii="Arial" w:eastAsia="Arial Unicode MS" w:hAnsi="Arial" w:cs="Arial"/>
          <w:sz w:val="20"/>
          <w:szCs w:val="20"/>
        </w:rPr>
        <w:t>Αναλυτικότερα</w:t>
      </w:r>
      <w:r w:rsidRPr="004D55B4">
        <w:rPr>
          <w:rFonts w:ascii="Arial" w:eastAsia="Arial Unicode MS" w:hAnsi="Arial" w:cs="Arial"/>
          <w:sz w:val="20"/>
          <w:szCs w:val="20"/>
          <w:lang w:val="en-GB"/>
        </w:rPr>
        <w:t xml:space="preserve"> :</w:t>
      </w:r>
    </w:p>
    <w:p w:rsidR="00AD3BA5" w:rsidRPr="004D55B4" w:rsidRDefault="00AD3BA5" w:rsidP="004D55B4">
      <w:pPr>
        <w:pStyle w:val="ListParagraph1"/>
        <w:ind w:left="0"/>
        <w:jc w:val="left"/>
        <w:rPr>
          <w:rFonts w:eastAsia="Arial Unicode MS"/>
          <w:lang w:val="en-GB"/>
        </w:rPr>
      </w:pPr>
      <w:r w:rsidRPr="004D55B4">
        <w:rPr>
          <w:rFonts w:eastAsia="Arial Unicode MS"/>
        </w:rPr>
        <w:t>Περιγραφή</w:t>
      </w:r>
      <w:r w:rsidRPr="004D55B4">
        <w:rPr>
          <w:rFonts w:eastAsia="Arial Unicode MS"/>
          <w:lang w:val="en-GB"/>
        </w:rPr>
        <w:t xml:space="preserve"> </w:t>
      </w:r>
      <w:r w:rsidRPr="004D55B4">
        <w:rPr>
          <w:rFonts w:eastAsia="Arial Unicode MS"/>
        </w:rPr>
        <w:t>του</w:t>
      </w:r>
      <w:r w:rsidRPr="004D55B4">
        <w:rPr>
          <w:rFonts w:eastAsia="Arial Unicode MS"/>
          <w:lang w:val="en-GB"/>
        </w:rPr>
        <w:t xml:space="preserve"> </w:t>
      </w:r>
      <w:r w:rsidRPr="004D55B4">
        <w:rPr>
          <w:rFonts w:eastAsia="Arial Unicode MS"/>
        </w:rPr>
        <w:t>Έργου</w:t>
      </w:r>
      <w:r w:rsidRPr="004D55B4">
        <w:rPr>
          <w:rFonts w:eastAsia="Arial Unicode MS"/>
          <w:lang w:val="en-GB"/>
        </w:rPr>
        <w:t xml:space="preserve"> : </w:t>
      </w:r>
    </w:p>
    <w:p w:rsidR="00AD3BA5" w:rsidRPr="004D55B4" w:rsidRDefault="00AD3BA5" w:rsidP="004D55B4">
      <w:pPr>
        <w:pStyle w:val="ListParagraph1"/>
        <w:spacing w:after="120"/>
        <w:ind w:left="0"/>
        <w:jc w:val="left"/>
        <w:rPr>
          <w:rFonts w:eastAsia="Arial Unicode MS"/>
          <w:lang w:val="en-US" w:eastAsia="ar-SA"/>
        </w:rPr>
      </w:pPr>
      <w:r w:rsidRPr="004D55B4">
        <w:rPr>
          <w:rFonts w:eastAsia="Arial Unicode MS"/>
          <w:lang w:val="en-GB" w:eastAsia="ar-SA"/>
        </w:rPr>
        <w:t xml:space="preserve">USESPON aims to encourage and support the use of findings from the </w:t>
      </w:r>
      <w:hyperlink r:id="rId7" w:tgtFrame="_blank" w:history="1">
        <w:r w:rsidRPr="004D55B4">
          <w:rPr>
            <w:rFonts w:eastAsia="Arial Unicode MS"/>
            <w:lang w:val="en-GB" w:eastAsia="ar-SA"/>
          </w:rPr>
          <w:t>ESPON 2013 Programme</w:t>
        </w:r>
      </w:hyperlink>
      <w:r w:rsidRPr="004D55B4">
        <w:rPr>
          <w:rFonts w:eastAsia="Arial Unicode MS"/>
          <w:lang w:val="en-GB" w:eastAsia="ar-SA"/>
        </w:rPr>
        <w:t xml:space="preserve">. The project will engage stakeholders across Europe with the work of ESPON and provide them with guidance on using ESPON results in policy-making and practice. </w:t>
      </w:r>
      <w:r w:rsidRPr="004D55B4">
        <w:rPr>
          <w:rFonts w:eastAsia="Arial Unicode MS"/>
          <w:lang w:val="en-GB" w:eastAsia="ar-SA"/>
        </w:rPr>
        <w:br/>
      </w:r>
      <w:r w:rsidRPr="004D55B4">
        <w:rPr>
          <w:rFonts w:eastAsia="Arial Unicode MS"/>
          <w:lang w:val="en-GB" w:eastAsia="ar-SA"/>
        </w:rPr>
        <w:br/>
        <w:t xml:space="preserve">Policy-makers and practitioners frequently don't have time to extract the most relevant information from complex and often lengthy research reports for their needs. In the context of ESPON, the ESPON Contact Points are well-placed to help with this, by identifying stakeholders' needs and communicating the relevant results to them. USESPON will allow ESPON Contact Points to create </w:t>
      </w:r>
      <w:hyperlink r:id="rId8" w:history="1">
        <w:r w:rsidRPr="004D55B4">
          <w:rPr>
            <w:rFonts w:eastAsia="Arial Unicode MS"/>
            <w:lang w:val="en-GB" w:eastAsia="ar-SA"/>
          </w:rPr>
          <w:t>support materials</w:t>
        </w:r>
      </w:hyperlink>
      <w:r w:rsidRPr="004D55B4">
        <w:rPr>
          <w:rFonts w:eastAsia="Arial Unicode MS"/>
          <w:lang w:val="en-GB" w:eastAsia="ar-SA"/>
        </w:rPr>
        <w:t xml:space="preserve"> and </w:t>
      </w:r>
      <w:hyperlink r:id="rId9" w:tgtFrame="_blank" w:history="1">
        <w:r w:rsidRPr="004D55B4">
          <w:rPr>
            <w:rFonts w:eastAsia="Arial Unicode MS"/>
            <w:lang w:val="en-GB" w:eastAsia="ar-SA"/>
          </w:rPr>
          <w:t>virtual learning environment (VLE)</w:t>
        </w:r>
      </w:hyperlink>
      <w:r w:rsidRPr="004D55B4">
        <w:rPr>
          <w:rFonts w:eastAsia="Arial Unicode MS"/>
          <w:lang w:val="en-GB" w:eastAsia="ar-SA"/>
        </w:rPr>
        <w:t xml:space="preserve"> resources, as well as hold </w:t>
      </w:r>
      <w:hyperlink r:id="rId10" w:history="1">
        <w:r w:rsidRPr="004D55B4">
          <w:rPr>
            <w:rFonts w:eastAsia="Arial Unicode MS"/>
            <w:lang w:val="en-GB" w:eastAsia="ar-SA"/>
          </w:rPr>
          <w:t>interactive events</w:t>
        </w:r>
      </w:hyperlink>
      <w:r w:rsidRPr="004D55B4">
        <w:rPr>
          <w:rFonts w:eastAsia="Arial Unicode MS"/>
          <w:lang w:val="en-GB" w:eastAsia="ar-SA"/>
        </w:rPr>
        <w:t xml:space="preserve"> - all designed to make ESPON findings more accessible and easier to implement in practice.</w:t>
      </w:r>
    </w:p>
    <w:p w:rsidR="00AD3BA5" w:rsidRPr="004D55B4" w:rsidRDefault="00AD3BA5" w:rsidP="004D55B4">
      <w:pPr>
        <w:pStyle w:val="ListParagraph1"/>
        <w:spacing w:after="120"/>
        <w:ind w:left="0"/>
        <w:jc w:val="left"/>
        <w:rPr>
          <w:rFonts w:eastAsia="Arial Unicode MS"/>
          <w:lang w:eastAsia="ar-SA"/>
        </w:rPr>
      </w:pPr>
      <w:r w:rsidRPr="004D55B4">
        <w:rPr>
          <w:rFonts w:eastAsia="Arial Unicode MS"/>
          <w:lang w:eastAsia="ar-SA"/>
        </w:rPr>
        <w:t>(βλ.</w:t>
      </w:r>
      <w:hyperlink r:id="rId11" w:history="1">
        <w:r w:rsidRPr="004D55B4">
          <w:rPr>
            <w:rFonts w:eastAsia="Arial Unicode MS"/>
            <w:lang w:eastAsia="ar-SA"/>
          </w:rPr>
          <w:t>http://www.espon.eu/main/Menu_Projects/Menu_TransnationalNetworkingActivities/usespon.html</w:t>
        </w:r>
      </w:hyperlink>
      <w:r w:rsidRPr="004D55B4">
        <w:rPr>
          <w:rFonts w:eastAsia="Arial Unicode MS"/>
          <w:lang w:eastAsia="ar-SA"/>
        </w:rPr>
        <w:t xml:space="preserve"> και/ή </w:t>
      </w:r>
      <w:hyperlink r:id="rId12" w:history="1">
        <w:r w:rsidRPr="004D55B4">
          <w:rPr>
            <w:rFonts w:eastAsia="Arial Unicode MS"/>
            <w:lang w:eastAsia="ar-SA"/>
          </w:rPr>
          <w:t>http://www.espon-usespon.eu/about-usespon</w:t>
        </w:r>
      </w:hyperlink>
      <w:r w:rsidRPr="004D55B4">
        <w:rPr>
          <w:rFonts w:eastAsia="Arial Unicode MS"/>
          <w:lang w:eastAsia="ar-SA"/>
        </w:rPr>
        <w:t>)</w:t>
      </w:r>
    </w:p>
    <w:p w:rsidR="00AD3BA5" w:rsidRPr="004D55B4" w:rsidRDefault="00AD3BA5" w:rsidP="004D55B4">
      <w:pPr>
        <w:pStyle w:val="ListParagraph1"/>
        <w:ind w:left="0"/>
        <w:jc w:val="left"/>
        <w:rPr>
          <w:rFonts w:eastAsia="Arial Unicode MS"/>
        </w:rPr>
      </w:pPr>
      <w:r w:rsidRPr="004D55B4">
        <w:rPr>
          <w:rFonts w:eastAsia="Arial Unicode MS"/>
        </w:rPr>
        <w:t xml:space="preserve">Κατά συνέπεια ζητείται: </w:t>
      </w:r>
    </w:p>
    <w:p w:rsidR="00AD3BA5" w:rsidRPr="00475EA4" w:rsidRDefault="00475EA4" w:rsidP="004D55B4">
      <w:pPr>
        <w:rPr>
          <w:rFonts w:ascii="Arial" w:hAnsi="Arial" w:cs="Arial"/>
          <w:sz w:val="20"/>
          <w:szCs w:val="20"/>
        </w:rPr>
      </w:pPr>
      <w:r>
        <w:rPr>
          <w:rFonts w:ascii="Arial" w:hAnsi="Arial" w:cs="Arial"/>
          <w:sz w:val="20"/>
          <w:szCs w:val="20"/>
        </w:rPr>
        <w:t>Α) Σχεδιασμός</w:t>
      </w:r>
      <w:r w:rsidR="00AD3BA5" w:rsidRPr="004D55B4">
        <w:rPr>
          <w:rFonts w:ascii="Arial" w:hAnsi="Arial" w:cs="Arial"/>
          <w:sz w:val="20"/>
          <w:szCs w:val="20"/>
        </w:rPr>
        <w:t xml:space="preserve"> των μαθημάτων </w:t>
      </w:r>
      <w:r>
        <w:rPr>
          <w:rFonts w:ascii="Arial" w:hAnsi="Arial" w:cs="Arial"/>
          <w:sz w:val="20"/>
          <w:szCs w:val="20"/>
        </w:rPr>
        <w:t xml:space="preserve">( </w:t>
      </w:r>
      <w:proofErr w:type="spellStart"/>
      <w:r>
        <w:rPr>
          <w:rFonts w:ascii="Arial" w:hAnsi="Arial" w:cs="Arial"/>
          <w:sz w:val="20"/>
          <w:szCs w:val="20"/>
        </w:rPr>
        <w:t>course</w:t>
      </w:r>
      <w:proofErr w:type="spellEnd"/>
      <w:r>
        <w:rPr>
          <w:rFonts w:ascii="Arial" w:hAnsi="Arial" w:cs="Arial"/>
          <w:sz w:val="20"/>
          <w:szCs w:val="20"/>
        </w:rPr>
        <w:t xml:space="preserve"> </w:t>
      </w:r>
      <w:proofErr w:type="spellStart"/>
      <w:r>
        <w:rPr>
          <w:rFonts w:ascii="Arial" w:hAnsi="Arial" w:cs="Arial"/>
          <w:sz w:val="20"/>
          <w:szCs w:val="20"/>
        </w:rPr>
        <w:t>design</w:t>
      </w:r>
      <w:proofErr w:type="spellEnd"/>
      <w:r>
        <w:rPr>
          <w:rFonts w:ascii="Arial" w:hAnsi="Arial" w:cs="Arial"/>
          <w:sz w:val="20"/>
          <w:szCs w:val="20"/>
        </w:rPr>
        <w:t xml:space="preserve">) </w:t>
      </w:r>
      <w:r w:rsidR="00AD3BA5" w:rsidRPr="004D55B4">
        <w:rPr>
          <w:rFonts w:ascii="Arial" w:hAnsi="Arial" w:cs="Arial"/>
          <w:sz w:val="20"/>
          <w:szCs w:val="20"/>
        </w:rPr>
        <w:t xml:space="preserve">ούτως ώστε να ευνοείται η διαδικασία του </w:t>
      </w:r>
      <w:r w:rsidR="00AD3BA5" w:rsidRPr="004D55B4">
        <w:rPr>
          <w:rFonts w:ascii="Arial" w:hAnsi="Arial" w:cs="Arial"/>
          <w:sz w:val="20"/>
          <w:szCs w:val="20"/>
          <w:lang w:val="en-US"/>
        </w:rPr>
        <w:t>e</w:t>
      </w:r>
      <w:r w:rsidR="00AD3BA5" w:rsidRPr="004D55B4">
        <w:rPr>
          <w:rFonts w:ascii="Arial" w:hAnsi="Arial" w:cs="Arial"/>
          <w:sz w:val="20"/>
          <w:szCs w:val="20"/>
        </w:rPr>
        <w:t>-</w:t>
      </w:r>
      <w:r w:rsidR="00AD3BA5" w:rsidRPr="004D55B4">
        <w:rPr>
          <w:rFonts w:ascii="Arial" w:hAnsi="Arial" w:cs="Arial"/>
          <w:sz w:val="20"/>
          <w:szCs w:val="20"/>
          <w:lang w:val="en-US"/>
        </w:rPr>
        <w:t>learning</w:t>
      </w:r>
      <w:r w:rsidRPr="00475EA4">
        <w:rPr>
          <w:rFonts w:ascii="Arial" w:hAnsi="Arial" w:cs="Arial"/>
          <w:sz w:val="20"/>
          <w:szCs w:val="20"/>
        </w:rPr>
        <w:t xml:space="preserve"> </w:t>
      </w:r>
      <w:r>
        <w:rPr>
          <w:rFonts w:ascii="Arial" w:hAnsi="Arial" w:cs="Arial"/>
          <w:sz w:val="20"/>
          <w:szCs w:val="20"/>
        </w:rPr>
        <w:t>σε συνεργασία με τους ειδικούς επιστήμονες της ομάδας έργου</w:t>
      </w:r>
      <w:r w:rsidRPr="00475EA4">
        <w:rPr>
          <w:rFonts w:ascii="Arial" w:hAnsi="Arial" w:cs="Arial"/>
          <w:sz w:val="20"/>
          <w:szCs w:val="20"/>
        </w:rPr>
        <w:t>.</w:t>
      </w:r>
    </w:p>
    <w:p w:rsidR="00AD3BA5" w:rsidRPr="004D55B4" w:rsidRDefault="00AD3BA5" w:rsidP="004D55B4">
      <w:pPr>
        <w:rPr>
          <w:rFonts w:ascii="Arial" w:hAnsi="Arial" w:cs="Arial"/>
          <w:sz w:val="20"/>
          <w:szCs w:val="20"/>
        </w:rPr>
      </w:pPr>
      <w:r w:rsidRPr="004D55B4">
        <w:rPr>
          <w:rFonts w:ascii="Arial" w:hAnsi="Arial" w:cs="Arial"/>
          <w:sz w:val="20"/>
          <w:szCs w:val="20"/>
        </w:rPr>
        <w:t xml:space="preserve">Β) Συντονισμός της διαμόρφωσης του υλικού και της εισαγωγής του στην πλατφόρμα </w:t>
      </w:r>
      <w:r w:rsidR="00475EA4">
        <w:rPr>
          <w:rFonts w:ascii="Arial" w:hAnsi="Arial" w:cs="Arial"/>
          <w:sz w:val="20"/>
          <w:szCs w:val="20"/>
        </w:rPr>
        <w:t>σε συνεργασία με τους ειδικούς επιστήμονες της ομάδας έργου</w:t>
      </w:r>
    </w:p>
    <w:p w:rsidR="004D55B4" w:rsidRPr="004D55B4" w:rsidRDefault="00AD3BA5" w:rsidP="004D55B4">
      <w:pPr>
        <w:spacing w:after="120"/>
        <w:rPr>
          <w:rFonts w:ascii="Arial" w:hAnsi="Arial" w:cs="Arial"/>
          <w:sz w:val="20"/>
          <w:szCs w:val="20"/>
        </w:rPr>
      </w:pPr>
      <w:r w:rsidRPr="004D55B4">
        <w:rPr>
          <w:rFonts w:ascii="Arial" w:hAnsi="Arial" w:cs="Arial"/>
          <w:sz w:val="20"/>
          <w:szCs w:val="20"/>
        </w:rPr>
        <w:t xml:space="preserve">Γ) Καθοδήγηση των εταίρων </w:t>
      </w:r>
      <w:r w:rsidR="00475EA4">
        <w:rPr>
          <w:rFonts w:ascii="Arial" w:hAnsi="Arial" w:cs="Arial"/>
          <w:sz w:val="20"/>
          <w:szCs w:val="20"/>
          <w:lang w:val="en-US"/>
        </w:rPr>
        <w:t>USESPON</w:t>
      </w:r>
      <w:r w:rsidR="00475EA4" w:rsidRPr="00475EA4">
        <w:rPr>
          <w:rFonts w:ascii="Arial" w:hAnsi="Arial" w:cs="Arial"/>
          <w:sz w:val="20"/>
          <w:szCs w:val="20"/>
        </w:rPr>
        <w:t xml:space="preserve"> </w:t>
      </w:r>
      <w:r w:rsidRPr="004D55B4">
        <w:rPr>
          <w:rFonts w:ascii="Arial" w:hAnsi="Arial" w:cs="Arial"/>
          <w:sz w:val="20"/>
          <w:szCs w:val="20"/>
        </w:rPr>
        <w:t xml:space="preserve">προκειμένου να </w:t>
      </w:r>
      <w:r w:rsidR="00000757" w:rsidRPr="004D55B4">
        <w:rPr>
          <w:rFonts w:ascii="Arial" w:hAnsi="Arial" w:cs="Arial"/>
          <w:sz w:val="20"/>
          <w:szCs w:val="20"/>
        </w:rPr>
        <w:t xml:space="preserve"> προσαρμόσουν</w:t>
      </w:r>
      <w:r w:rsidRPr="004D55B4">
        <w:rPr>
          <w:rFonts w:ascii="Arial" w:hAnsi="Arial" w:cs="Arial"/>
          <w:sz w:val="20"/>
          <w:szCs w:val="20"/>
        </w:rPr>
        <w:t xml:space="preserve"> το εκπαιδευτικό υλικό για τις </w:t>
      </w:r>
      <w:r w:rsidR="00000757" w:rsidRPr="004D55B4">
        <w:rPr>
          <w:rFonts w:ascii="Arial" w:hAnsi="Arial" w:cs="Arial"/>
          <w:sz w:val="20"/>
          <w:szCs w:val="20"/>
        </w:rPr>
        <w:t>εθνικές ανάγκ</w:t>
      </w:r>
      <w:r w:rsidR="004D55B4" w:rsidRPr="004D55B4">
        <w:rPr>
          <w:rFonts w:ascii="Arial" w:hAnsi="Arial" w:cs="Arial"/>
          <w:sz w:val="20"/>
          <w:szCs w:val="20"/>
        </w:rPr>
        <w:t>ες σε 4 γλώσσες ( αγγλικά, γαλλικά, πολωνικά και ελληνικά</w:t>
      </w:r>
      <w:r w:rsidR="00475EA4" w:rsidRPr="00475EA4">
        <w:rPr>
          <w:rFonts w:ascii="Arial" w:hAnsi="Arial" w:cs="Arial"/>
          <w:sz w:val="20"/>
          <w:szCs w:val="20"/>
        </w:rPr>
        <w:t xml:space="preserve"> </w:t>
      </w:r>
      <w:r w:rsidR="004D55B4" w:rsidRPr="004D55B4">
        <w:rPr>
          <w:rFonts w:ascii="Arial" w:hAnsi="Arial" w:cs="Arial"/>
          <w:sz w:val="20"/>
          <w:szCs w:val="20"/>
        </w:rPr>
        <w:t xml:space="preserve">) </w:t>
      </w:r>
    </w:p>
    <w:p w:rsidR="00AD3BA5" w:rsidRPr="004D55B4" w:rsidRDefault="00AD3BA5" w:rsidP="004D55B4">
      <w:pPr>
        <w:rPr>
          <w:rFonts w:ascii="Arial" w:hAnsi="Arial" w:cs="Arial"/>
          <w:sz w:val="20"/>
          <w:szCs w:val="20"/>
        </w:rPr>
      </w:pPr>
      <w:r w:rsidRPr="004D55B4">
        <w:rPr>
          <w:rFonts w:ascii="Arial" w:hAnsi="Arial" w:cs="Arial"/>
          <w:sz w:val="20"/>
          <w:szCs w:val="20"/>
        </w:rPr>
        <w:t>Για περαιτέρω πληροφορίες μπορείτε να επικοινωνήσετε με το:</w:t>
      </w:r>
    </w:p>
    <w:p w:rsidR="00AD3BA5" w:rsidRPr="004D55B4" w:rsidRDefault="00AD3BA5" w:rsidP="004D55B4">
      <w:pPr>
        <w:pStyle w:val="default"/>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0"/>
          <w:szCs w:val="20"/>
        </w:rPr>
      </w:pPr>
      <w:r w:rsidRPr="004D55B4">
        <w:rPr>
          <w:rFonts w:ascii="Calibri" w:hAnsi="Calibri" w:cs="Calibri"/>
          <w:sz w:val="20"/>
          <w:szCs w:val="20"/>
        </w:rPr>
        <w:t>ΕΘΝΙΚΟ ΣΗΜΕΙΟ ΕΠΑΦΗΣ ESPON 2013</w:t>
      </w:r>
    </w:p>
    <w:p w:rsidR="00AD3BA5" w:rsidRPr="004D55B4" w:rsidRDefault="00AD3BA5" w:rsidP="004D55B4">
      <w:pPr>
        <w:pStyle w:val="default"/>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0"/>
          <w:szCs w:val="20"/>
        </w:rPr>
      </w:pPr>
      <w:r w:rsidRPr="004D55B4">
        <w:rPr>
          <w:rFonts w:ascii="Calibri" w:hAnsi="Calibri" w:cs="Calibri"/>
          <w:sz w:val="20"/>
          <w:szCs w:val="20"/>
        </w:rPr>
        <w:t>ΠΑΝΤΕΙΟ ΠΑΝΕΠΙΣΤΗΜΙΟ ΚΟΙΝΩΝΙΚΩΝ ΚΑΙ ΠΟΛΙΤΙΚΩΝ ΕΠΙΣΤΗΜΩΝ</w:t>
      </w:r>
    </w:p>
    <w:p w:rsidR="00AD3BA5" w:rsidRPr="004D55B4" w:rsidRDefault="00AD3BA5" w:rsidP="004D55B4">
      <w:pPr>
        <w:pStyle w:val="default"/>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0"/>
          <w:szCs w:val="20"/>
        </w:rPr>
      </w:pPr>
      <w:proofErr w:type="spellStart"/>
      <w:r w:rsidRPr="004D55B4">
        <w:rPr>
          <w:rFonts w:ascii="Calibri" w:hAnsi="Calibri" w:cs="Calibri"/>
          <w:sz w:val="20"/>
          <w:szCs w:val="20"/>
        </w:rPr>
        <w:t>Λεωφ.Συγγρού</w:t>
      </w:r>
      <w:proofErr w:type="spellEnd"/>
      <w:r w:rsidRPr="004D55B4">
        <w:rPr>
          <w:rFonts w:ascii="Calibri" w:hAnsi="Calibri" w:cs="Calibri"/>
          <w:sz w:val="20"/>
          <w:szCs w:val="20"/>
        </w:rPr>
        <w:t xml:space="preserve"> 136, 176 71 </w:t>
      </w:r>
      <w:proofErr w:type="spellStart"/>
      <w:r w:rsidRPr="004D55B4">
        <w:rPr>
          <w:rFonts w:ascii="Calibri" w:hAnsi="Calibri" w:cs="Calibri"/>
          <w:sz w:val="20"/>
          <w:szCs w:val="20"/>
        </w:rPr>
        <w:t>Kαλλιθέα</w:t>
      </w:r>
      <w:proofErr w:type="spellEnd"/>
      <w:r w:rsidRPr="004D55B4">
        <w:rPr>
          <w:rFonts w:ascii="Calibri" w:hAnsi="Calibri" w:cs="Calibri"/>
          <w:sz w:val="20"/>
          <w:szCs w:val="20"/>
        </w:rPr>
        <w:t xml:space="preserve">, Αθήνα , </w:t>
      </w:r>
      <w:proofErr w:type="spellStart"/>
      <w:r w:rsidRPr="004D55B4">
        <w:rPr>
          <w:rFonts w:ascii="Calibri" w:hAnsi="Calibri" w:cs="Calibri"/>
          <w:sz w:val="20"/>
          <w:szCs w:val="20"/>
        </w:rPr>
        <w:t>τηλ</w:t>
      </w:r>
      <w:proofErr w:type="spellEnd"/>
      <w:r w:rsidRPr="004D55B4">
        <w:rPr>
          <w:rFonts w:ascii="Calibri" w:hAnsi="Calibri" w:cs="Calibri"/>
          <w:sz w:val="20"/>
          <w:szCs w:val="20"/>
        </w:rPr>
        <w:t xml:space="preserve">, </w:t>
      </w:r>
      <w:proofErr w:type="spellStart"/>
      <w:r w:rsidRPr="004D55B4">
        <w:rPr>
          <w:rFonts w:ascii="Calibri" w:hAnsi="Calibri" w:cs="Calibri"/>
          <w:sz w:val="20"/>
          <w:szCs w:val="20"/>
        </w:rPr>
        <w:t>fax</w:t>
      </w:r>
      <w:proofErr w:type="spellEnd"/>
      <w:r w:rsidRPr="004D55B4">
        <w:rPr>
          <w:rFonts w:ascii="Calibri" w:hAnsi="Calibri" w:cs="Calibri"/>
          <w:sz w:val="20"/>
          <w:szCs w:val="20"/>
        </w:rPr>
        <w:t xml:space="preserve">: 0030 210 9236206, 0030 210 9221066, </w:t>
      </w:r>
      <w:proofErr w:type="spellStart"/>
      <w:r w:rsidRPr="004D55B4">
        <w:rPr>
          <w:rFonts w:ascii="Calibri" w:hAnsi="Calibri" w:cs="Calibri"/>
          <w:sz w:val="20"/>
          <w:szCs w:val="20"/>
        </w:rPr>
        <w:t>κιν</w:t>
      </w:r>
      <w:proofErr w:type="spellEnd"/>
      <w:r w:rsidRPr="004D55B4">
        <w:rPr>
          <w:rFonts w:ascii="Calibri" w:hAnsi="Calibri" w:cs="Calibri"/>
          <w:sz w:val="20"/>
          <w:szCs w:val="20"/>
        </w:rPr>
        <w:t>: 6944837586,</w:t>
      </w:r>
    </w:p>
    <w:p w:rsidR="00AD3BA5" w:rsidRPr="004D55B4" w:rsidRDefault="00AD3BA5" w:rsidP="004D55B4">
      <w:pPr>
        <w:pStyle w:val="default"/>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s="Calibri"/>
          <w:sz w:val="20"/>
          <w:szCs w:val="20"/>
          <w:lang w:val="pt-BR"/>
        </w:rPr>
      </w:pPr>
      <w:r w:rsidRPr="004D55B4">
        <w:rPr>
          <w:rFonts w:ascii="Calibri" w:hAnsi="Calibri" w:cs="Calibri"/>
          <w:sz w:val="20"/>
          <w:szCs w:val="20"/>
          <w:lang w:val="pt-BR"/>
        </w:rPr>
        <w:t>e-mail :espon2013_ncp@panteion.gr, url://www.espon2013.panteion.gr</w:t>
      </w:r>
    </w:p>
    <w:p w:rsidR="004D55B4" w:rsidRDefault="00AD3BA5" w:rsidP="004D55B4">
      <w:pPr>
        <w:rPr>
          <w:rFonts w:ascii="Arial" w:hAnsi="Arial" w:cs="Arial"/>
          <w:sz w:val="20"/>
          <w:szCs w:val="20"/>
        </w:rPr>
      </w:pPr>
      <w:r w:rsidRPr="004D55B4">
        <w:rPr>
          <w:rFonts w:ascii="Arial" w:hAnsi="Arial" w:cs="Arial"/>
          <w:sz w:val="20"/>
          <w:szCs w:val="20"/>
        </w:rPr>
        <w:t xml:space="preserve">Παρακαλούμε να μας στείλετε την προσφορά σας εντός 15 ημερών στην παραπάνω διεύθυνση υπόψη κυρίας Στέλλας </w:t>
      </w:r>
      <w:proofErr w:type="spellStart"/>
      <w:r w:rsidRPr="004D55B4">
        <w:rPr>
          <w:rFonts w:ascii="Arial" w:hAnsi="Arial" w:cs="Arial"/>
          <w:sz w:val="20"/>
          <w:szCs w:val="20"/>
        </w:rPr>
        <w:t>Κυβέλου</w:t>
      </w:r>
      <w:proofErr w:type="spellEnd"/>
      <w:r w:rsidRPr="004D55B4">
        <w:rPr>
          <w:rFonts w:ascii="Arial" w:hAnsi="Arial" w:cs="Arial"/>
          <w:sz w:val="20"/>
          <w:szCs w:val="20"/>
        </w:rPr>
        <w:t xml:space="preserve">, </w:t>
      </w:r>
      <w:proofErr w:type="spellStart"/>
      <w:r w:rsidRPr="004D55B4">
        <w:rPr>
          <w:rFonts w:ascii="Arial" w:hAnsi="Arial" w:cs="Arial"/>
          <w:sz w:val="20"/>
          <w:szCs w:val="20"/>
        </w:rPr>
        <w:t>Επ</w:t>
      </w:r>
      <w:proofErr w:type="spellEnd"/>
      <w:r w:rsidRPr="004D55B4">
        <w:rPr>
          <w:rFonts w:ascii="Arial" w:hAnsi="Arial" w:cs="Arial"/>
          <w:sz w:val="20"/>
          <w:szCs w:val="20"/>
        </w:rPr>
        <w:t xml:space="preserve">. Υπεύθυνης Έργου με την ένδειξη «ΠΛΑΤΦΟΡΜΑ </w:t>
      </w:r>
      <w:r w:rsidRPr="004D55B4">
        <w:rPr>
          <w:rFonts w:ascii="Arial" w:hAnsi="Arial" w:cs="Arial"/>
          <w:sz w:val="20"/>
          <w:szCs w:val="20"/>
          <w:lang w:val="en-US"/>
        </w:rPr>
        <w:t>USESPON</w:t>
      </w:r>
      <w:r w:rsidRPr="004D55B4">
        <w:rPr>
          <w:rFonts w:ascii="Arial" w:hAnsi="Arial" w:cs="Arial"/>
          <w:sz w:val="20"/>
          <w:szCs w:val="20"/>
        </w:rPr>
        <w:t xml:space="preserve">». </w:t>
      </w:r>
    </w:p>
    <w:p w:rsidR="004D55B4" w:rsidRDefault="004D55B4" w:rsidP="004D55B4">
      <w:pPr>
        <w:rPr>
          <w:rFonts w:ascii="Arial" w:hAnsi="Arial" w:cs="Arial"/>
          <w:sz w:val="20"/>
          <w:szCs w:val="20"/>
        </w:rPr>
      </w:pPr>
    </w:p>
    <w:p w:rsidR="004D55B4" w:rsidRDefault="00AD3BA5" w:rsidP="004D55B4">
      <w:pPr>
        <w:rPr>
          <w:rFonts w:ascii="Arial" w:hAnsi="Arial" w:cs="Arial"/>
          <w:sz w:val="20"/>
          <w:szCs w:val="20"/>
        </w:rPr>
      </w:pPr>
      <w:r w:rsidRPr="004D55B4">
        <w:rPr>
          <w:rFonts w:ascii="Arial" w:hAnsi="Arial" w:cs="Arial"/>
          <w:sz w:val="20"/>
          <w:szCs w:val="20"/>
        </w:rPr>
        <w:t xml:space="preserve">Οι αιτήσεις και τα δικαιολογητικά πρέπει να κατατεθούν στο ΕΣΕ ESPON (Αριστοτέλους 29, 17671 Καλλιθέα, Αθήνα, </w:t>
      </w:r>
      <w:proofErr w:type="spellStart"/>
      <w:r w:rsidRPr="004D55B4">
        <w:rPr>
          <w:rFonts w:ascii="Arial" w:hAnsi="Arial" w:cs="Arial"/>
          <w:sz w:val="20"/>
          <w:szCs w:val="20"/>
        </w:rPr>
        <w:t>τηλ</w:t>
      </w:r>
      <w:proofErr w:type="spellEnd"/>
      <w:r w:rsidRPr="004D55B4">
        <w:rPr>
          <w:rFonts w:ascii="Arial" w:hAnsi="Arial" w:cs="Arial"/>
          <w:sz w:val="20"/>
          <w:szCs w:val="20"/>
        </w:rPr>
        <w:t xml:space="preserve">. Επικοινωνίας 2109236206 κ. Ι. </w:t>
      </w:r>
      <w:proofErr w:type="spellStart"/>
      <w:r w:rsidRPr="004D55B4">
        <w:rPr>
          <w:rFonts w:ascii="Arial" w:hAnsi="Arial" w:cs="Arial"/>
          <w:sz w:val="20"/>
          <w:szCs w:val="20"/>
        </w:rPr>
        <w:t>Ποθητάκη</w:t>
      </w:r>
      <w:proofErr w:type="spellEnd"/>
      <w:r w:rsidRPr="004D55B4">
        <w:rPr>
          <w:rFonts w:ascii="Arial" w:hAnsi="Arial" w:cs="Arial"/>
          <w:sz w:val="20"/>
          <w:szCs w:val="20"/>
        </w:rPr>
        <w:t xml:space="preserve"> ή να αποσταλούν με </w:t>
      </w:r>
      <w:proofErr w:type="spellStart"/>
      <w:r w:rsidRPr="004D55B4">
        <w:rPr>
          <w:rFonts w:ascii="Arial" w:hAnsi="Arial" w:cs="Arial"/>
          <w:sz w:val="20"/>
          <w:szCs w:val="20"/>
        </w:rPr>
        <w:t>κούριερ</w:t>
      </w:r>
      <w:proofErr w:type="spellEnd"/>
      <w:r w:rsidRPr="004D55B4">
        <w:rPr>
          <w:rFonts w:ascii="Arial" w:hAnsi="Arial" w:cs="Arial"/>
          <w:sz w:val="20"/>
          <w:szCs w:val="20"/>
        </w:rPr>
        <w:t xml:space="preserve"> στο ΕΣΕ ESPON 2013, (Υπόψη Στέλλας </w:t>
      </w:r>
      <w:proofErr w:type="spellStart"/>
      <w:r w:rsidRPr="004D55B4">
        <w:rPr>
          <w:rFonts w:ascii="Arial" w:hAnsi="Arial" w:cs="Arial"/>
          <w:sz w:val="20"/>
          <w:szCs w:val="20"/>
        </w:rPr>
        <w:t>Κυβέλου</w:t>
      </w:r>
      <w:proofErr w:type="spellEnd"/>
      <w:r w:rsidRPr="004D55B4">
        <w:rPr>
          <w:rFonts w:ascii="Arial" w:hAnsi="Arial" w:cs="Arial"/>
          <w:sz w:val="20"/>
          <w:szCs w:val="20"/>
        </w:rPr>
        <w:t>) ΠΑΝΤΕΙΟ ΠΑΝΕΠΙΣΤΗΜΙΟ για την υλοποίηση του έργου "ESPON -USESPON“ που υλοποιείται και χρηματοδοτείται από το Πρόγραμμα ESPON 2013 (TNA, Προτεραιότητα 4)- (Λεωφόρος Συγγρού 136, Αθήνα ΤΚ 17671,</w:t>
      </w:r>
      <w:r w:rsidRPr="004D55B4">
        <w:rPr>
          <w:rFonts w:ascii="Arial" w:hAnsi="Arial" w:cs="Arial"/>
          <w:sz w:val="20"/>
          <w:szCs w:val="20"/>
        </w:rPr>
        <w:br/>
        <w:t>Καλλιθέα). .</w:t>
      </w:r>
      <w:r w:rsidRPr="004D55B4">
        <w:rPr>
          <w:rFonts w:ascii="Arial" w:hAnsi="Arial" w:cs="Arial"/>
          <w:sz w:val="20"/>
          <w:szCs w:val="20"/>
        </w:rPr>
        <w:br/>
        <w:t>Αιτήσεις μετά τη λήξη της προθεσμίας δεν γίνονται δεκτές.</w:t>
      </w:r>
      <w:r w:rsidRPr="004D55B4">
        <w:rPr>
          <w:rFonts w:ascii="Arial" w:hAnsi="Arial" w:cs="Arial"/>
          <w:sz w:val="20"/>
          <w:szCs w:val="20"/>
        </w:rPr>
        <w:br/>
        <w:t xml:space="preserve">Η σφραγίδα του </w:t>
      </w:r>
      <w:proofErr w:type="spellStart"/>
      <w:r w:rsidRPr="004D55B4">
        <w:rPr>
          <w:rFonts w:ascii="Arial" w:hAnsi="Arial" w:cs="Arial"/>
          <w:sz w:val="20"/>
          <w:szCs w:val="20"/>
        </w:rPr>
        <w:t>κούριερ</w:t>
      </w:r>
      <w:proofErr w:type="spellEnd"/>
      <w:r w:rsidRPr="004D55B4">
        <w:rPr>
          <w:rFonts w:ascii="Arial" w:hAnsi="Arial" w:cs="Arial"/>
          <w:sz w:val="20"/>
          <w:szCs w:val="20"/>
        </w:rPr>
        <w:t xml:space="preserve"> αποτελεί απόδειξη της ημερομηνίας υποβολής της αίτησης.</w:t>
      </w:r>
      <w:r w:rsidR="004D55B4" w:rsidRPr="004D55B4">
        <w:rPr>
          <w:rFonts w:ascii="Arial" w:hAnsi="Arial" w:cs="Arial"/>
          <w:sz w:val="20"/>
          <w:szCs w:val="20"/>
        </w:rPr>
        <w:t xml:space="preserve"> </w:t>
      </w:r>
    </w:p>
    <w:p w:rsidR="004D55B4" w:rsidRDefault="004D55B4" w:rsidP="004D55B4">
      <w:pPr>
        <w:rPr>
          <w:rFonts w:ascii="Arial" w:hAnsi="Arial" w:cs="Arial"/>
          <w:sz w:val="20"/>
          <w:szCs w:val="20"/>
        </w:rPr>
      </w:pPr>
    </w:p>
    <w:p w:rsidR="004D55B4" w:rsidRPr="004D55B4" w:rsidRDefault="004D55B4" w:rsidP="004D55B4">
      <w:pPr>
        <w:rPr>
          <w:rFonts w:ascii="Arial" w:hAnsi="Arial" w:cs="Arial"/>
          <w:sz w:val="20"/>
          <w:szCs w:val="20"/>
        </w:rPr>
      </w:pPr>
      <w:r w:rsidRPr="004D55B4">
        <w:rPr>
          <w:rFonts w:ascii="Arial" w:hAnsi="Arial" w:cs="Arial"/>
          <w:sz w:val="20"/>
          <w:szCs w:val="20"/>
        </w:rPr>
        <w:t>Η παρούσα πρόσκληση εκδήλωσης ε</w:t>
      </w:r>
      <w:r>
        <w:rPr>
          <w:rFonts w:ascii="Arial" w:hAnsi="Arial" w:cs="Arial"/>
          <w:sz w:val="20"/>
          <w:szCs w:val="20"/>
        </w:rPr>
        <w:t xml:space="preserve">νδιαφέροντος δημοσιεύεται, στην </w:t>
      </w:r>
      <w:r w:rsidRPr="004D55B4">
        <w:rPr>
          <w:rFonts w:ascii="Arial" w:hAnsi="Arial" w:cs="Arial"/>
          <w:sz w:val="20"/>
          <w:szCs w:val="20"/>
        </w:rPr>
        <w:t>ιστοσελίδα του ΕΣΕ ESPON 2013.</w:t>
      </w:r>
    </w:p>
    <w:p w:rsidR="00AD3BA5" w:rsidRPr="004D55B4" w:rsidRDefault="00AD3BA5" w:rsidP="004D55B4">
      <w:pPr>
        <w:rPr>
          <w:rFonts w:ascii="Arial" w:hAnsi="Arial" w:cs="Arial"/>
          <w:sz w:val="20"/>
          <w:szCs w:val="20"/>
        </w:rPr>
      </w:pPr>
    </w:p>
    <w:sectPr w:rsidR="00AD3BA5" w:rsidRPr="004D55B4" w:rsidSect="00B66306">
      <w:pgSz w:w="11906" w:h="16838"/>
      <w:pgMar w:top="1440" w:right="1106" w:bottom="900" w:left="126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5B2"/>
    <w:multiLevelType w:val="hybridMultilevel"/>
    <w:tmpl w:val="D2A82D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13460BCE"/>
    <w:multiLevelType w:val="hybridMultilevel"/>
    <w:tmpl w:val="8EC8076A"/>
    <w:lvl w:ilvl="0" w:tplc="0408000F">
      <w:start w:val="1"/>
      <w:numFmt w:val="decimal"/>
      <w:lvlText w:val="%1."/>
      <w:lvlJc w:val="left"/>
      <w:pPr>
        <w:tabs>
          <w:tab w:val="num" w:pos="900"/>
        </w:tabs>
        <w:ind w:left="900" w:hanging="360"/>
      </w:pPr>
      <w:rPr>
        <w:rFonts w:hint="default"/>
      </w:rPr>
    </w:lvl>
    <w:lvl w:ilvl="1" w:tplc="04080019">
      <w:start w:val="1"/>
      <w:numFmt w:val="lowerLetter"/>
      <w:lvlText w:val="%2."/>
      <w:lvlJc w:val="left"/>
      <w:pPr>
        <w:tabs>
          <w:tab w:val="num" w:pos="1620"/>
        </w:tabs>
        <w:ind w:left="1620" w:hanging="360"/>
      </w:pPr>
    </w:lvl>
    <w:lvl w:ilvl="2" w:tplc="0408001B">
      <w:start w:val="1"/>
      <w:numFmt w:val="lowerRoman"/>
      <w:lvlText w:val="%3."/>
      <w:lvlJc w:val="right"/>
      <w:pPr>
        <w:tabs>
          <w:tab w:val="num" w:pos="2340"/>
        </w:tabs>
        <w:ind w:left="2340" w:hanging="180"/>
      </w:pPr>
    </w:lvl>
    <w:lvl w:ilvl="3" w:tplc="0408000F">
      <w:start w:val="1"/>
      <w:numFmt w:val="decimal"/>
      <w:lvlText w:val="%4."/>
      <w:lvlJc w:val="left"/>
      <w:pPr>
        <w:tabs>
          <w:tab w:val="num" w:pos="3060"/>
        </w:tabs>
        <w:ind w:left="3060" w:hanging="360"/>
      </w:pPr>
    </w:lvl>
    <w:lvl w:ilvl="4" w:tplc="04080019">
      <w:start w:val="1"/>
      <w:numFmt w:val="lowerLetter"/>
      <w:lvlText w:val="%5."/>
      <w:lvlJc w:val="left"/>
      <w:pPr>
        <w:tabs>
          <w:tab w:val="num" w:pos="3780"/>
        </w:tabs>
        <w:ind w:left="3780" w:hanging="360"/>
      </w:pPr>
    </w:lvl>
    <w:lvl w:ilvl="5" w:tplc="0408001B">
      <w:start w:val="1"/>
      <w:numFmt w:val="lowerRoman"/>
      <w:lvlText w:val="%6."/>
      <w:lvlJc w:val="right"/>
      <w:pPr>
        <w:tabs>
          <w:tab w:val="num" w:pos="4500"/>
        </w:tabs>
        <w:ind w:left="4500" w:hanging="180"/>
      </w:pPr>
    </w:lvl>
    <w:lvl w:ilvl="6" w:tplc="0408000F">
      <w:start w:val="1"/>
      <w:numFmt w:val="decimal"/>
      <w:lvlText w:val="%7."/>
      <w:lvlJc w:val="left"/>
      <w:pPr>
        <w:tabs>
          <w:tab w:val="num" w:pos="5220"/>
        </w:tabs>
        <w:ind w:left="5220" w:hanging="360"/>
      </w:pPr>
    </w:lvl>
    <w:lvl w:ilvl="7" w:tplc="04080019">
      <w:start w:val="1"/>
      <w:numFmt w:val="lowerLetter"/>
      <w:lvlText w:val="%8."/>
      <w:lvlJc w:val="left"/>
      <w:pPr>
        <w:tabs>
          <w:tab w:val="num" w:pos="5940"/>
        </w:tabs>
        <w:ind w:left="5940" w:hanging="360"/>
      </w:pPr>
    </w:lvl>
    <w:lvl w:ilvl="8" w:tplc="0408001B">
      <w:start w:val="1"/>
      <w:numFmt w:val="lowerRoman"/>
      <w:lvlText w:val="%9."/>
      <w:lvlJc w:val="right"/>
      <w:pPr>
        <w:tabs>
          <w:tab w:val="num" w:pos="6660"/>
        </w:tabs>
        <w:ind w:left="6660" w:hanging="180"/>
      </w:pPr>
    </w:lvl>
  </w:abstractNum>
  <w:abstractNum w:abstractNumId="2">
    <w:nsid w:val="60D87FA3"/>
    <w:multiLevelType w:val="hybridMultilevel"/>
    <w:tmpl w:val="B120A03C"/>
    <w:lvl w:ilvl="0" w:tplc="04080005">
      <w:start w:val="1"/>
      <w:numFmt w:val="bullet"/>
      <w:lvlText w:val=""/>
      <w:lvlJc w:val="left"/>
      <w:pPr>
        <w:tabs>
          <w:tab w:val="num" w:pos="720"/>
        </w:tabs>
        <w:ind w:left="720" w:hanging="360"/>
      </w:pPr>
      <w:rPr>
        <w:rFonts w:ascii="Wingdings" w:hAnsi="Wingdings" w:cs="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63F7438F"/>
    <w:multiLevelType w:val="hybridMultilevel"/>
    <w:tmpl w:val="1BBC7360"/>
    <w:lvl w:ilvl="0" w:tplc="04080005">
      <w:start w:val="1"/>
      <w:numFmt w:val="bullet"/>
      <w:lvlText w:val=""/>
      <w:lvlJc w:val="left"/>
      <w:pPr>
        <w:tabs>
          <w:tab w:val="num" w:pos="900"/>
        </w:tabs>
        <w:ind w:left="900" w:hanging="360"/>
      </w:pPr>
      <w:rPr>
        <w:rFonts w:ascii="Wingdings" w:hAnsi="Wingdings" w:cs="Wingdings" w:hint="default"/>
      </w:rPr>
    </w:lvl>
    <w:lvl w:ilvl="1" w:tplc="04080019">
      <w:start w:val="1"/>
      <w:numFmt w:val="lowerLetter"/>
      <w:lvlText w:val="%2."/>
      <w:lvlJc w:val="left"/>
      <w:pPr>
        <w:tabs>
          <w:tab w:val="num" w:pos="1620"/>
        </w:tabs>
        <w:ind w:left="1620" w:hanging="360"/>
      </w:pPr>
    </w:lvl>
    <w:lvl w:ilvl="2" w:tplc="0408001B">
      <w:start w:val="1"/>
      <w:numFmt w:val="lowerRoman"/>
      <w:lvlText w:val="%3."/>
      <w:lvlJc w:val="right"/>
      <w:pPr>
        <w:tabs>
          <w:tab w:val="num" w:pos="2340"/>
        </w:tabs>
        <w:ind w:left="2340" w:hanging="180"/>
      </w:pPr>
    </w:lvl>
    <w:lvl w:ilvl="3" w:tplc="0408000F">
      <w:start w:val="1"/>
      <w:numFmt w:val="decimal"/>
      <w:lvlText w:val="%4."/>
      <w:lvlJc w:val="left"/>
      <w:pPr>
        <w:tabs>
          <w:tab w:val="num" w:pos="3060"/>
        </w:tabs>
        <w:ind w:left="3060" w:hanging="360"/>
      </w:pPr>
    </w:lvl>
    <w:lvl w:ilvl="4" w:tplc="04080019">
      <w:start w:val="1"/>
      <w:numFmt w:val="lowerLetter"/>
      <w:lvlText w:val="%5."/>
      <w:lvlJc w:val="left"/>
      <w:pPr>
        <w:tabs>
          <w:tab w:val="num" w:pos="3780"/>
        </w:tabs>
        <w:ind w:left="3780" w:hanging="360"/>
      </w:pPr>
    </w:lvl>
    <w:lvl w:ilvl="5" w:tplc="0408001B">
      <w:start w:val="1"/>
      <w:numFmt w:val="lowerRoman"/>
      <w:lvlText w:val="%6."/>
      <w:lvlJc w:val="right"/>
      <w:pPr>
        <w:tabs>
          <w:tab w:val="num" w:pos="4500"/>
        </w:tabs>
        <w:ind w:left="4500" w:hanging="180"/>
      </w:pPr>
    </w:lvl>
    <w:lvl w:ilvl="6" w:tplc="0408000F">
      <w:start w:val="1"/>
      <w:numFmt w:val="decimal"/>
      <w:lvlText w:val="%7."/>
      <w:lvlJc w:val="left"/>
      <w:pPr>
        <w:tabs>
          <w:tab w:val="num" w:pos="5220"/>
        </w:tabs>
        <w:ind w:left="5220" w:hanging="360"/>
      </w:pPr>
    </w:lvl>
    <w:lvl w:ilvl="7" w:tplc="04080019">
      <w:start w:val="1"/>
      <w:numFmt w:val="lowerLetter"/>
      <w:lvlText w:val="%8."/>
      <w:lvlJc w:val="left"/>
      <w:pPr>
        <w:tabs>
          <w:tab w:val="num" w:pos="5940"/>
        </w:tabs>
        <w:ind w:left="5940" w:hanging="360"/>
      </w:pPr>
    </w:lvl>
    <w:lvl w:ilvl="8" w:tplc="0408001B">
      <w:start w:val="1"/>
      <w:numFmt w:val="lowerRoman"/>
      <w:lvlText w:val="%9."/>
      <w:lvlJc w:val="right"/>
      <w:pPr>
        <w:tabs>
          <w:tab w:val="num" w:pos="6660"/>
        </w:tabs>
        <w:ind w:left="6660" w:hanging="180"/>
      </w:pPr>
    </w:lvl>
  </w:abstractNum>
  <w:abstractNum w:abstractNumId="4">
    <w:nsid w:val="736F4A59"/>
    <w:multiLevelType w:val="multilevel"/>
    <w:tmpl w:val="19948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E39280F"/>
    <w:multiLevelType w:val="hybridMultilevel"/>
    <w:tmpl w:val="5802CAE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5"/>
  </w:num>
  <w:num w:numId="3">
    <w:abstractNumId w:val="0"/>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characterSpacingControl w:val="doNotCompress"/>
  <w:doNotValidateAgainstSchema/>
  <w:doNotDemarcateInvalidXml/>
  <w:compat/>
  <w:rsids>
    <w:rsidRoot w:val="00877878"/>
    <w:rsid w:val="00000757"/>
    <w:rsid w:val="00001C75"/>
    <w:rsid w:val="0000671E"/>
    <w:rsid w:val="0000711A"/>
    <w:rsid w:val="00016C1B"/>
    <w:rsid w:val="00017D39"/>
    <w:rsid w:val="00020891"/>
    <w:rsid w:val="00024668"/>
    <w:rsid w:val="00026F5B"/>
    <w:rsid w:val="00032DA3"/>
    <w:rsid w:val="0008049B"/>
    <w:rsid w:val="00090BA2"/>
    <w:rsid w:val="00090F45"/>
    <w:rsid w:val="000A291A"/>
    <w:rsid w:val="000A4DCB"/>
    <w:rsid w:val="000A7546"/>
    <w:rsid w:val="000B431A"/>
    <w:rsid w:val="000C54F1"/>
    <w:rsid w:val="000F65BA"/>
    <w:rsid w:val="001014FD"/>
    <w:rsid w:val="001101E4"/>
    <w:rsid w:val="001223BA"/>
    <w:rsid w:val="00143B31"/>
    <w:rsid w:val="001525FA"/>
    <w:rsid w:val="001554BD"/>
    <w:rsid w:val="0015658B"/>
    <w:rsid w:val="001751FB"/>
    <w:rsid w:val="00176414"/>
    <w:rsid w:val="0019196C"/>
    <w:rsid w:val="00192328"/>
    <w:rsid w:val="001C2F27"/>
    <w:rsid w:val="001E1D84"/>
    <w:rsid w:val="001F3520"/>
    <w:rsid w:val="002062D3"/>
    <w:rsid w:val="002229B2"/>
    <w:rsid w:val="002357A5"/>
    <w:rsid w:val="00250CB6"/>
    <w:rsid w:val="00263295"/>
    <w:rsid w:val="00266058"/>
    <w:rsid w:val="002A0965"/>
    <w:rsid w:val="002E7720"/>
    <w:rsid w:val="002E7EE3"/>
    <w:rsid w:val="00303F88"/>
    <w:rsid w:val="0032335E"/>
    <w:rsid w:val="0033455D"/>
    <w:rsid w:val="00337AA5"/>
    <w:rsid w:val="0034372F"/>
    <w:rsid w:val="00344E39"/>
    <w:rsid w:val="00355781"/>
    <w:rsid w:val="003609C1"/>
    <w:rsid w:val="003829A5"/>
    <w:rsid w:val="003857EE"/>
    <w:rsid w:val="00395327"/>
    <w:rsid w:val="0039624C"/>
    <w:rsid w:val="003A5C9C"/>
    <w:rsid w:val="003B61AA"/>
    <w:rsid w:val="003C7E41"/>
    <w:rsid w:val="003E37FD"/>
    <w:rsid w:val="003E6EF5"/>
    <w:rsid w:val="003E700F"/>
    <w:rsid w:val="003F7E1A"/>
    <w:rsid w:val="00404A38"/>
    <w:rsid w:val="0040595B"/>
    <w:rsid w:val="00424935"/>
    <w:rsid w:val="00440520"/>
    <w:rsid w:val="00451CCD"/>
    <w:rsid w:val="00455C76"/>
    <w:rsid w:val="00470795"/>
    <w:rsid w:val="004712F6"/>
    <w:rsid w:val="0047527F"/>
    <w:rsid w:val="00475EA4"/>
    <w:rsid w:val="00493955"/>
    <w:rsid w:val="00494A3F"/>
    <w:rsid w:val="004B1A16"/>
    <w:rsid w:val="004B2445"/>
    <w:rsid w:val="004B34EE"/>
    <w:rsid w:val="004B59F7"/>
    <w:rsid w:val="004C50A4"/>
    <w:rsid w:val="004D113B"/>
    <w:rsid w:val="004D55B4"/>
    <w:rsid w:val="004E33CF"/>
    <w:rsid w:val="004E7A94"/>
    <w:rsid w:val="004F2BF5"/>
    <w:rsid w:val="00501667"/>
    <w:rsid w:val="00522774"/>
    <w:rsid w:val="00525054"/>
    <w:rsid w:val="0054196E"/>
    <w:rsid w:val="005601C6"/>
    <w:rsid w:val="00575369"/>
    <w:rsid w:val="005827CC"/>
    <w:rsid w:val="005A01EA"/>
    <w:rsid w:val="005B1920"/>
    <w:rsid w:val="005B3404"/>
    <w:rsid w:val="005B3D6C"/>
    <w:rsid w:val="005C15D9"/>
    <w:rsid w:val="005F219E"/>
    <w:rsid w:val="006065A9"/>
    <w:rsid w:val="006108B2"/>
    <w:rsid w:val="006132EE"/>
    <w:rsid w:val="006155EF"/>
    <w:rsid w:val="00617E1B"/>
    <w:rsid w:val="00625991"/>
    <w:rsid w:val="0063473B"/>
    <w:rsid w:val="00637201"/>
    <w:rsid w:val="0064044E"/>
    <w:rsid w:val="00640D1F"/>
    <w:rsid w:val="00646024"/>
    <w:rsid w:val="00647744"/>
    <w:rsid w:val="0067236F"/>
    <w:rsid w:val="006807B1"/>
    <w:rsid w:val="006833C8"/>
    <w:rsid w:val="00684556"/>
    <w:rsid w:val="006851F3"/>
    <w:rsid w:val="00694216"/>
    <w:rsid w:val="006A0F7C"/>
    <w:rsid w:val="006B7483"/>
    <w:rsid w:val="006C1FBD"/>
    <w:rsid w:val="006D48AD"/>
    <w:rsid w:val="006E16EB"/>
    <w:rsid w:val="006E24A2"/>
    <w:rsid w:val="006E31FB"/>
    <w:rsid w:val="00701CB9"/>
    <w:rsid w:val="0071070F"/>
    <w:rsid w:val="00710D89"/>
    <w:rsid w:val="0072472D"/>
    <w:rsid w:val="00725BF3"/>
    <w:rsid w:val="00747707"/>
    <w:rsid w:val="00752DEB"/>
    <w:rsid w:val="007624A9"/>
    <w:rsid w:val="00772059"/>
    <w:rsid w:val="00785A08"/>
    <w:rsid w:val="007A34FB"/>
    <w:rsid w:val="007B52AB"/>
    <w:rsid w:val="007D3DC3"/>
    <w:rsid w:val="007F1303"/>
    <w:rsid w:val="007F372C"/>
    <w:rsid w:val="007F686F"/>
    <w:rsid w:val="00814521"/>
    <w:rsid w:val="008343F1"/>
    <w:rsid w:val="008424DA"/>
    <w:rsid w:val="00842F62"/>
    <w:rsid w:val="0086482A"/>
    <w:rsid w:val="00867343"/>
    <w:rsid w:val="008723CA"/>
    <w:rsid w:val="00877878"/>
    <w:rsid w:val="008778E8"/>
    <w:rsid w:val="00885EC6"/>
    <w:rsid w:val="0089485C"/>
    <w:rsid w:val="008A38E9"/>
    <w:rsid w:val="008B7D3F"/>
    <w:rsid w:val="008E191C"/>
    <w:rsid w:val="008E753B"/>
    <w:rsid w:val="009152D8"/>
    <w:rsid w:val="0092102C"/>
    <w:rsid w:val="009411AB"/>
    <w:rsid w:val="00946FC8"/>
    <w:rsid w:val="00962700"/>
    <w:rsid w:val="00967BD1"/>
    <w:rsid w:val="00981DE0"/>
    <w:rsid w:val="0098680A"/>
    <w:rsid w:val="009B7517"/>
    <w:rsid w:val="009D0740"/>
    <w:rsid w:val="009E2748"/>
    <w:rsid w:val="009F5AC5"/>
    <w:rsid w:val="00A03A23"/>
    <w:rsid w:val="00A14E02"/>
    <w:rsid w:val="00A23E17"/>
    <w:rsid w:val="00A42A40"/>
    <w:rsid w:val="00A451AD"/>
    <w:rsid w:val="00A471A4"/>
    <w:rsid w:val="00A52A23"/>
    <w:rsid w:val="00A539E5"/>
    <w:rsid w:val="00A60DB2"/>
    <w:rsid w:val="00A8686F"/>
    <w:rsid w:val="00A86DB6"/>
    <w:rsid w:val="00AA3ADB"/>
    <w:rsid w:val="00AB2158"/>
    <w:rsid w:val="00AD3BA5"/>
    <w:rsid w:val="00AE7F6D"/>
    <w:rsid w:val="00B03B7A"/>
    <w:rsid w:val="00B23E6C"/>
    <w:rsid w:val="00B45350"/>
    <w:rsid w:val="00B51C9F"/>
    <w:rsid w:val="00B56317"/>
    <w:rsid w:val="00B66306"/>
    <w:rsid w:val="00BB375C"/>
    <w:rsid w:val="00BC241D"/>
    <w:rsid w:val="00BE6804"/>
    <w:rsid w:val="00BE6963"/>
    <w:rsid w:val="00BF2D6B"/>
    <w:rsid w:val="00BF4AF7"/>
    <w:rsid w:val="00C1618D"/>
    <w:rsid w:val="00C20095"/>
    <w:rsid w:val="00C220A3"/>
    <w:rsid w:val="00C333B5"/>
    <w:rsid w:val="00C35C92"/>
    <w:rsid w:val="00C43D1E"/>
    <w:rsid w:val="00C70987"/>
    <w:rsid w:val="00CA3B91"/>
    <w:rsid w:val="00CC4A69"/>
    <w:rsid w:val="00CD0DA9"/>
    <w:rsid w:val="00CD29C8"/>
    <w:rsid w:val="00CD3191"/>
    <w:rsid w:val="00CF1B77"/>
    <w:rsid w:val="00D04EBB"/>
    <w:rsid w:val="00D37140"/>
    <w:rsid w:val="00D46D82"/>
    <w:rsid w:val="00D81D52"/>
    <w:rsid w:val="00DA3943"/>
    <w:rsid w:val="00E07E63"/>
    <w:rsid w:val="00E11EE1"/>
    <w:rsid w:val="00E44C6F"/>
    <w:rsid w:val="00E55C1E"/>
    <w:rsid w:val="00E749C0"/>
    <w:rsid w:val="00E870D7"/>
    <w:rsid w:val="00EA40FA"/>
    <w:rsid w:val="00EB1B79"/>
    <w:rsid w:val="00F1276E"/>
    <w:rsid w:val="00F33DF3"/>
    <w:rsid w:val="00F42920"/>
    <w:rsid w:val="00F65D26"/>
    <w:rsid w:val="00F832F7"/>
    <w:rsid w:val="00F923DF"/>
    <w:rsid w:val="00FB00BA"/>
    <w:rsid w:val="00FB0736"/>
    <w:rsid w:val="00FC45A1"/>
    <w:rsid w:val="00FD27B9"/>
    <w:rsid w:val="00FD5685"/>
    <w:rsid w:val="00FD7A1B"/>
    <w:rsid w:val="00FF23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7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1014FD"/>
    <w:pPr>
      <w:suppressAutoHyphens w:val="0"/>
      <w:ind w:left="720"/>
      <w:jc w:val="both"/>
    </w:pPr>
    <w:rPr>
      <w:rFonts w:ascii="Arial" w:hAnsi="Arial" w:cs="Arial"/>
      <w:sz w:val="20"/>
      <w:szCs w:val="20"/>
      <w:lang w:eastAsia="en-US"/>
    </w:rPr>
  </w:style>
  <w:style w:type="paragraph" w:customStyle="1" w:styleId="default">
    <w:name w:val="default"/>
    <w:basedOn w:val="a"/>
    <w:uiPriority w:val="99"/>
    <w:rsid w:val="001014FD"/>
    <w:pPr>
      <w:suppressAutoHyphens w:val="0"/>
      <w:spacing w:before="100" w:beforeAutospacing="1" w:after="100" w:afterAutospacing="1"/>
    </w:pPr>
    <w:rPr>
      <w:lang w:eastAsia="el-GR"/>
    </w:rPr>
  </w:style>
  <w:style w:type="paragraph" w:customStyle="1" w:styleId="CharChar">
    <w:name w:val="Char Char"/>
    <w:basedOn w:val="a"/>
    <w:uiPriority w:val="99"/>
    <w:rsid w:val="00E55C1E"/>
    <w:pPr>
      <w:suppressAutoHyphens w:val="0"/>
      <w:spacing w:after="160" w:line="240" w:lineRule="exact"/>
    </w:pPr>
    <w:rPr>
      <w:rFonts w:ascii="Verdana" w:eastAsia="SimSun" w:hAnsi="Verdana" w:cs="Verdana"/>
      <w:sz w:val="20"/>
      <w:szCs w:val="20"/>
      <w:lang w:val="en-US" w:eastAsia="en-US"/>
    </w:rPr>
  </w:style>
  <w:style w:type="paragraph" w:styleId="Web">
    <w:name w:val="Normal (Web)"/>
    <w:basedOn w:val="a"/>
    <w:uiPriority w:val="99"/>
    <w:rsid w:val="004712F6"/>
    <w:pPr>
      <w:suppressAutoHyphens w:val="0"/>
      <w:spacing w:before="100" w:beforeAutospacing="1" w:after="100" w:afterAutospacing="1"/>
    </w:pPr>
    <w:rPr>
      <w:lang w:eastAsia="el-GR"/>
    </w:rPr>
  </w:style>
  <w:style w:type="character" w:styleId="-">
    <w:name w:val="Hyperlink"/>
    <w:basedOn w:val="a0"/>
    <w:uiPriority w:val="99"/>
    <w:rsid w:val="004712F6"/>
    <w:rPr>
      <w:color w:val="0000FF"/>
      <w:u w:val="single"/>
    </w:rPr>
  </w:style>
  <w:style w:type="paragraph" w:styleId="a3">
    <w:name w:val="Balloon Text"/>
    <w:basedOn w:val="a"/>
    <w:link w:val="Char"/>
    <w:uiPriority w:val="99"/>
    <w:semiHidden/>
    <w:unhideWhenUsed/>
    <w:rsid w:val="00000757"/>
    <w:rPr>
      <w:rFonts w:ascii="Tahoma" w:hAnsi="Tahoma" w:cs="Tahoma"/>
      <w:sz w:val="16"/>
      <w:szCs w:val="16"/>
    </w:rPr>
  </w:style>
  <w:style w:type="character" w:customStyle="1" w:styleId="Char">
    <w:name w:val="Κείμενο πλαισίου Char"/>
    <w:basedOn w:val="a0"/>
    <w:link w:val="a3"/>
    <w:uiPriority w:val="99"/>
    <w:semiHidden/>
    <w:rsid w:val="0000075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03638792">
      <w:marLeft w:val="0"/>
      <w:marRight w:val="0"/>
      <w:marTop w:val="0"/>
      <w:marBottom w:val="0"/>
      <w:divBdr>
        <w:top w:val="none" w:sz="0" w:space="0" w:color="auto"/>
        <w:left w:val="none" w:sz="0" w:space="0" w:color="auto"/>
        <w:bottom w:val="none" w:sz="0" w:space="0" w:color="auto"/>
        <w:right w:val="none" w:sz="0" w:space="0" w:color="auto"/>
      </w:divBdr>
    </w:div>
    <w:div w:id="203638793">
      <w:marLeft w:val="0"/>
      <w:marRight w:val="0"/>
      <w:marTop w:val="0"/>
      <w:marBottom w:val="0"/>
      <w:divBdr>
        <w:top w:val="none" w:sz="0" w:space="0" w:color="auto"/>
        <w:left w:val="none" w:sz="0" w:space="0" w:color="auto"/>
        <w:bottom w:val="none" w:sz="0" w:space="0" w:color="auto"/>
        <w:right w:val="none" w:sz="0" w:space="0" w:color="auto"/>
      </w:divBdr>
    </w:div>
    <w:div w:id="203638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pon-usespon.eu/supporting-mater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pon.eu/main/Menu_Programme/" TargetMode="External"/><Relationship Id="rId12" Type="http://schemas.openxmlformats.org/officeDocument/2006/relationships/hyperlink" Target="http://www.espon-usespon.eu/about-usesp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spon.eu/main/Menu_Projects/Menu_TransnationalNetworkingActivities/usespon.html" TargetMode="External"/><Relationship Id="rId5" Type="http://schemas.openxmlformats.org/officeDocument/2006/relationships/image" Target="media/image1.jpeg"/><Relationship Id="rId10" Type="http://schemas.openxmlformats.org/officeDocument/2006/relationships/hyperlink" Target="http://www.espon-usespon.eu/incoming-events" TargetMode="External"/><Relationship Id="rId4" Type="http://schemas.openxmlformats.org/officeDocument/2006/relationships/webSettings" Target="webSettings.xml"/><Relationship Id="rId9" Type="http://schemas.openxmlformats.org/officeDocument/2006/relationships/hyperlink" Target="http://espontrain.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2979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UEHR</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2014-02-17T14:09:00Z</dcterms:created>
  <dcterms:modified xsi:type="dcterms:W3CDTF">2014-02-17T14:09:00Z</dcterms:modified>
</cp:coreProperties>
</file>